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C06" w:rsidRDefault="008F7DB9">
      <w:pPr>
        <w:spacing w:after="415" w:line="259" w:lineRule="auto"/>
        <w:ind w:left="0" w:firstLine="0"/>
      </w:pPr>
      <w:r>
        <w:rPr>
          <w:sz w:val="24"/>
        </w:rPr>
        <w:t xml:space="preserve"> </w:t>
      </w:r>
    </w:p>
    <w:p w:rsidR="00701C06" w:rsidRDefault="008F7DB9">
      <w:pPr>
        <w:spacing w:line="259" w:lineRule="auto"/>
        <w:ind w:left="20" w:hanging="10"/>
        <w:jc w:val="center"/>
      </w:pPr>
      <w:r>
        <w:rPr>
          <w:b/>
        </w:rPr>
        <w:t xml:space="preserve">1102: Stage #3 </w:t>
      </w:r>
    </w:p>
    <w:p w:rsidR="00701C06" w:rsidRDefault="008F7DB9">
      <w:pPr>
        <w:spacing w:line="259" w:lineRule="auto"/>
        <w:ind w:left="20" w:hanging="10"/>
        <w:jc w:val="center"/>
      </w:pPr>
      <w:r>
        <w:rPr>
          <w:b/>
        </w:rPr>
        <w:t xml:space="preserve">Presenting Discoveries Essay </w:t>
      </w:r>
    </w:p>
    <w:p w:rsidR="00701C06" w:rsidRDefault="008F7DB9">
      <w:pPr>
        <w:spacing w:line="259" w:lineRule="auto"/>
        <w:ind w:left="0" w:firstLine="0"/>
      </w:pPr>
      <w:r>
        <w:rPr>
          <w:i/>
        </w:rPr>
        <w:t xml:space="preserve"> </w:t>
      </w:r>
    </w:p>
    <w:p w:rsidR="00701C06" w:rsidRDefault="008F7DB9">
      <w:pPr>
        <w:spacing w:after="5" w:line="237" w:lineRule="auto"/>
        <w:ind w:left="0" w:firstLine="0"/>
      </w:pPr>
      <w:r>
        <w:rPr>
          <w:i/>
        </w:rPr>
        <w:t xml:space="preserve">1101 and 1102 are writing classes that use a variety of texts, including literature, as a means to inspire student writing. </w:t>
      </w:r>
      <w:r>
        <w:rPr>
          <w:b/>
          <w:i/>
        </w:rPr>
        <w:t xml:space="preserve">FYW classes are not literature classes; they are writing classes. </w:t>
      </w:r>
      <w:r>
        <w:rPr>
          <w:i/>
        </w:rPr>
        <w:t xml:space="preserve">Reading lists, assignments, and class schedules should reflect this focus. </w:t>
      </w:r>
    </w:p>
    <w:p w:rsidR="00701C06" w:rsidRDefault="008F7DB9">
      <w:pPr>
        <w:spacing w:line="259" w:lineRule="auto"/>
        <w:ind w:left="0" w:firstLine="0"/>
      </w:pPr>
      <w:r>
        <w:t xml:space="preserve"> </w:t>
      </w:r>
    </w:p>
    <w:p w:rsidR="00701C06" w:rsidRDefault="008F7DB9">
      <w:pPr>
        <w:ind w:left="0" w:firstLine="0"/>
      </w:pPr>
      <w:r>
        <w:rPr>
          <w:b/>
        </w:rPr>
        <w:t xml:space="preserve">Purpose of the essay: </w:t>
      </w:r>
      <w:r>
        <w:t>As their final project in FYW@UWG, the “Presenting Discoveries” essay asks students to draw upon all they have learned about writing and their own writing p</w:t>
      </w:r>
      <w:r>
        <w:t>rocesses in 1101 and 1102 to compose what we hope will be the most substantial, meaningful, and refined piece of writing of their career up to this point. This essay will build upon the work the students began in Stages 1 &amp; 2 of 1102 (Researching Conversat</w:t>
      </w:r>
      <w:r>
        <w:t xml:space="preserve">ions and Proposing Perspectives). Because we conceive of this assignment as a sort of “capstone” project for our program, the bulk of the semester after midterm should be devoted to the invention, drafting, revision, and editing of this manuscript. </w:t>
      </w:r>
    </w:p>
    <w:p w:rsidR="00701C06" w:rsidRDefault="008F7DB9">
      <w:pPr>
        <w:spacing w:line="259" w:lineRule="auto"/>
        <w:ind w:left="0" w:firstLine="0"/>
      </w:pPr>
      <w:r>
        <w:t xml:space="preserve">      </w:t>
      </w:r>
    </w:p>
    <w:p w:rsidR="00701C06" w:rsidRDefault="008F7DB9">
      <w:pPr>
        <w:ind w:left="0" w:firstLine="0"/>
      </w:pPr>
      <w:r>
        <w:t xml:space="preserve">Students will: </w:t>
      </w:r>
    </w:p>
    <w:p w:rsidR="00701C06" w:rsidRDefault="008F7DB9">
      <w:pPr>
        <w:spacing w:line="259" w:lineRule="auto"/>
        <w:ind w:left="0" w:firstLine="0"/>
      </w:pPr>
      <w:r>
        <w:t xml:space="preserve"> </w:t>
      </w:r>
    </w:p>
    <w:p w:rsidR="00701C06" w:rsidRDefault="008F7DB9">
      <w:pPr>
        <w:numPr>
          <w:ilvl w:val="0"/>
          <w:numId w:val="1"/>
        </w:numPr>
        <w:ind w:hanging="360"/>
      </w:pPr>
      <w:r>
        <w:t xml:space="preserve">First, </w:t>
      </w:r>
      <w:r>
        <w:rPr>
          <w:b/>
        </w:rPr>
        <w:t>recognize/summarize</w:t>
      </w:r>
      <w:r>
        <w:t xml:space="preserve"> </w:t>
      </w:r>
      <w:r>
        <w:rPr>
          <w:b/>
        </w:rPr>
        <w:t>“what”</w:t>
      </w:r>
      <w:r>
        <w:t xml:space="preserve"> argument a primary text makes and then</w:t>
      </w:r>
      <w:r>
        <w:rPr>
          <w:b/>
        </w:rPr>
        <w:t xml:space="preserve"> analyze “how” </w:t>
      </w:r>
      <w:r>
        <w:t>the author structured the argument rhetorically</w:t>
      </w:r>
      <w:r w:rsidR="006F46F8">
        <w:t xml:space="preserve"> OR identify a personal interest related to your career trajectory or concerns or questions about particular careers and/or the rhetoric surrounding it/them</w:t>
      </w:r>
      <w:r>
        <w:t xml:space="preserve">. </w:t>
      </w:r>
    </w:p>
    <w:p w:rsidR="00701C06" w:rsidRDefault="008F7DB9">
      <w:pPr>
        <w:numPr>
          <w:ilvl w:val="0"/>
          <w:numId w:val="1"/>
        </w:numPr>
        <w:ind w:hanging="360"/>
      </w:pPr>
      <w:r>
        <w:t xml:space="preserve">Next, </w:t>
      </w:r>
      <w:r>
        <w:rPr>
          <w:b/>
        </w:rPr>
        <w:t>perform secondary research</w:t>
      </w:r>
      <w:r>
        <w:t xml:space="preserve"> involving at least two sources that are in conversation with the pr</w:t>
      </w:r>
      <w:r>
        <w:t>imary text in some way</w:t>
      </w:r>
      <w:r w:rsidR="006F46F8">
        <w:t xml:space="preserve"> OR in conversation with your particular topic</w:t>
      </w:r>
      <w:r>
        <w:t>; the</w:t>
      </w:r>
      <w:r w:rsidR="006F46F8">
        <w:t xml:space="preserve"> sources</w:t>
      </w:r>
      <w:r>
        <w:t xml:space="preserve"> could relate directly to the primary text </w:t>
      </w:r>
      <w:r w:rsidR="006F46F8">
        <w:t>or your particular focus</w:t>
      </w:r>
      <w:r>
        <w:t xml:space="preserve"> or relate to a critical issue with which the primary text </w:t>
      </w:r>
      <w:r w:rsidR="006F46F8">
        <w:t xml:space="preserve">or your topic </w:t>
      </w:r>
      <w:r>
        <w:t xml:space="preserve">engages.  </w:t>
      </w:r>
    </w:p>
    <w:p w:rsidR="00701C06" w:rsidRDefault="008F7DB9">
      <w:pPr>
        <w:numPr>
          <w:ilvl w:val="0"/>
          <w:numId w:val="1"/>
        </w:numPr>
        <w:spacing w:after="3" w:line="237" w:lineRule="auto"/>
        <w:ind w:hanging="360"/>
      </w:pPr>
      <w:r>
        <w:t xml:space="preserve">Identify valid sources: research sources </w:t>
      </w:r>
      <w:r>
        <w:rPr>
          <w:b/>
        </w:rPr>
        <w:t>need not</w:t>
      </w:r>
      <w:r>
        <w:t xml:space="preserve"> be “academic” or “peer reviewed” in nature – newspaper/maga</w:t>
      </w:r>
      <w:r>
        <w:t xml:space="preserve">zine articles, blogs, interviews, documentaries, etc. are preferable here. </w:t>
      </w:r>
    </w:p>
    <w:p w:rsidR="00701C06" w:rsidRDefault="008F7DB9">
      <w:pPr>
        <w:numPr>
          <w:ilvl w:val="0"/>
          <w:numId w:val="1"/>
        </w:numPr>
        <w:ind w:hanging="360"/>
      </w:pPr>
      <w:r>
        <w:t>Finally</w:t>
      </w:r>
      <w:r>
        <w:rPr>
          <w:b/>
        </w:rPr>
        <w:t>, join the critical conversation</w:t>
      </w:r>
      <w:r>
        <w:t xml:space="preserve"> surrounding this primary text </w:t>
      </w:r>
      <w:r w:rsidR="006F46F8">
        <w:t xml:space="preserve">OR your topic </w:t>
      </w:r>
      <w:r>
        <w:t xml:space="preserve">by adding a unique argumentative voice. </w:t>
      </w:r>
    </w:p>
    <w:p w:rsidR="00701C06" w:rsidRDefault="008F7DB9">
      <w:pPr>
        <w:numPr>
          <w:ilvl w:val="0"/>
          <w:numId w:val="1"/>
        </w:numPr>
        <w:ind w:hanging="360"/>
      </w:pPr>
      <w:r>
        <w:t xml:space="preserve">Articulate this distinct argument in the </w:t>
      </w:r>
      <w:r>
        <w:rPr>
          <w:b/>
        </w:rPr>
        <w:t>thesis statement (organizing</w:t>
      </w:r>
      <w:r>
        <w:rPr>
          <w:b/>
        </w:rPr>
        <w:t xml:space="preserve"> idea)</w:t>
      </w:r>
      <w:r>
        <w:t xml:space="preserve">. While the argument might not be “entirely original,” </w:t>
      </w:r>
      <w:r>
        <w:t xml:space="preserve">challenge </w:t>
      </w:r>
      <w:r w:rsidR="006F46F8">
        <w:t>yourself</w:t>
      </w:r>
      <w:r>
        <w:t xml:space="preserve"> to look at what the critical conversation is saying across multiple texts and try to add something unique to the scope of the conversation. </w:t>
      </w:r>
    </w:p>
    <w:p w:rsidR="00701C06" w:rsidRDefault="008F7DB9">
      <w:pPr>
        <w:numPr>
          <w:ilvl w:val="0"/>
          <w:numId w:val="1"/>
        </w:numPr>
        <w:ind w:hanging="360"/>
      </w:pPr>
      <w:r>
        <w:t>Support this argument</w:t>
      </w:r>
      <w:r>
        <w:t xml:space="preserve"> by continuing to privilege </w:t>
      </w:r>
      <w:r>
        <w:rPr>
          <w:b/>
        </w:rPr>
        <w:t xml:space="preserve">direct reference to </w:t>
      </w:r>
      <w:r w:rsidR="006F46F8">
        <w:rPr>
          <w:b/>
        </w:rPr>
        <w:t>your sources</w:t>
      </w:r>
      <w:r>
        <w:rPr>
          <w:b/>
        </w:rPr>
        <w:t xml:space="preserve"> </w:t>
      </w:r>
      <w:r>
        <w:t xml:space="preserve">(quotes over paraphrasing, narrating a visual scene over a plot summary) when engaging with textual evidence. </w:t>
      </w:r>
    </w:p>
    <w:p w:rsidR="00701C06" w:rsidRDefault="008F7DB9">
      <w:pPr>
        <w:numPr>
          <w:ilvl w:val="0"/>
          <w:numId w:val="1"/>
        </w:numPr>
        <w:ind w:hanging="360"/>
      </w:pPr>
      <w:r>
        <w:t xml:space="preserve">Further develop and employ </w:t>
      </w:r>
      <w:r>
        <w:rPr>
          <w:b/>
        </w:rPr>
        <w:t>Information Literacy</w:t>
      </w:r>
      <w:r>
        <w:t xml:space="preserve"> of the myriad genres/outlets/forms that info</w:t>
      </w:r>
      <w:r>
        <w:t xml:space="preserve">rmation in the “Information Age” takes and begin recognizing their varied (and often conflicting) purposes. </w:t>
      </w:r>
    </w:p>
    <w:p w:rsidR="00701C06" w:rsidRDefault="008F7DB9">
      <w:pPr>
        <w:numPr>
          <w:ilvl w:val="0"/>
          <w:numId w:val="1"/>
        </w:numPr>
        <w:ind w:hanging="360"/>
      </w:pPr>
      <w:r>
        <w:t xml:space="preserve">Further develop a </w:t>
      </w:r>
      <w:r>
        <w:rPr>
          <w:b/>
        </w:rPr>
        <w:t>practical understanding of any format convention</w:t>
      </w:r>
      <w:r>
        <w:t xml:space="preserve"> (MLA, APA, Chicago). Students may choose to practice the format conventions of t</w:t>
      </w:r>
      <w:r>
        <w:t xml:space="preserve">heir major rather than privileging MLA. </w:t>
      </w:r>
    </w:p>
    <w:p w:rsidR="00701C06" w:rsidRDefault="008F7DB9">
      <w:pPr>
        <w:numPr>
          <w:ilvl w:val="0"/>
          <w:numId w:val="1"/>
        </w:numPr>
        <w:ind w:hanging="360"/>
      </w:pPr>
      <w:r>
        <w:lastRenderedPageBreak/>
        <w:t xml:space="preserve">Continue practicing the </w:t>
      </w:r>
      <w:r>
        <w:rPr>
          <w:b/>
        </w:rPr>
        <w:t>dual role of topic sentence</w:t>
      </w:r>
      <w:r>
        <w:t xml:space="preserve">, developing internal and external organizational conventions by writing topic sentences that both introduce the argument the paragraph makes and help advance/structure the paper’s overall argument.  </w:t>
      </w:r>
    </w:p>
    <w:p w:rsidR="00701C06" w:rsidRDefault="008F7DB9">
      <w:pPr>
        <w:numPr>
          <w:ilvl w:val="0"/>
          <w:numId w:val="1"/>
        </w:numPr>
        <w:ind w:hanging="360"/>
      </w:pPr>
      <w:r>
        <w:t xml:space="preserve">Continue developing </w:t>
      </w:r>
      <w:r>
        <w:rPr>
          <w:b/>
        </w:rPr>
        <w:t>genre awareness</w:t>
      </w:r>
      <w:r>
        <w:t xml:space="preserve"> of the sources/voic</w:t>
      </w:r>
      <w:r>
        <w:t xml:space="preserve">es involved in the critical conversation.  </w:t>
      </w:r>
    </w:p>
    <w:p w:rsidR="00701C06" w:rsidRDefault="008F7DB9">
      <w:pPr>
        <w:numPr>
          <w:ilvl w:val="0"/>
          <w:numId w:val="1"/>
        </w:numPr>
        <w:ind w:hanging="360"/>
      </w:pPr>
      <w:r>
        <w:t>Continue developing an understanding of how the texts we read and write academically are “</w:t>
      </w:r>
      <w:r>
        <w:rPr>
          <w:b/>
        </w:rPr>
        <w:t>intertextual</w:t>
      </w:r>
      <w:r>
        <w:t xml:space="preserve">,” meaning they contain multiple voices that need to be distinguished and credited appropriately.  </w:t>
      </w:r>
    </w:p>
    <w:p w:rsidR="00701C06" w:rsidRDefault="008F7DB9">
      <w:pPr>
        <w:numPr>
          <w:ilvl w:val="0"/>
          <w:numId w:val="1"/>
        </w:numPr>
        <w:ind w:hanging="360"/>
      </w:pPr>
      <w:r>
        <w:t xml:space="preserve">7-9 pages </w:t>
      </w:r>
      <w:r>
        <w:t>paper length</w:t>
      </w:r>
      <w:bookmarkStart w:id="0" w:name="_GoBack"/>
      <w:bookmarkEnd w:id="0"/>
      <w:r>
        <w:t xml:space="preserve">. </w:t>
      </w:r>
    </w:p>
    <w:p w:rsidR="00701C06" w:rsidRDefault="008F7DB9">
      <w:pPr>
        <w:spacing w:after="427" w:line="259" w:lineRule="auto"/>
        <w:ind w:left="0" w:firstLine="0"/>
      </w:pPr>
      <w:r>
        <w:t xml:space="preserve"> </w:t>
      </w:r>
    </w:p>
    <w:p w:rsidR="00701C06" w:rsidRDefault="008F7DB9">
      <w:pPr>
        <w:spacing w:line="259" w:lineRule="auto"/>
        <w:ind w:left="0" w:firstLine="0"/>
      </w:pPr>
      <w:r>
        <w:rPr>
          <w:sz w:val="24"/>
        </w:rPr>
        <w:t xml:space="preserve"> </w:t>
      </w:r>
    </w:p>
    <w:sectPr w:rsidR="00701C06">
      <w:pgSz w:w="12240" w:h="15840"/>
      <w:pgMar w:top="1440" w:right="1452" w:bottom="1440"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2048D"/>
    <w:multiLevelType w:val="hybridMultilevel"/>
    <w:tmpl w:val="6CE4CFC4"/>
    <w:lvl w:ilvl="0" w:tplc="20445044">
      <w:start w:val="1"/>
      <w:numFmt w:val="bullet"/>
      <w:lvlText w:val="●"/>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B8CE99E">
      <w:start w:val="1"/>
      <w:numFmt w:val="bullet"/>
      <w:lvlText w:val="o"/>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F30C4D6">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3C8744C">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CE1C98">
      <w:start w:val="1"/>
      <w:numFmt w:val="bullet"/>
      <w:lvlText w:val="o"/>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DFA9B50">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A00E560">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ACE5734">
      <w:start w:val="1"/>
      <w:numFmt w:val="bullet"/>
      <w:lvlText w:val="o"/>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8327C5E">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06"/>
    <w:rsid w:val="006F46F8"/>
    <w:rsid w:val="00701C06"/>
    <w:rsid w:val="008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AF64"/>
  <w15:docId w15:val="{1FBD48CA-BA9A-4394-A415-0A5D6B36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370" w:hanging="37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2884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1102 Stage #3</vt:lpstr>
    </vt:vector>
  </TitlesOfParts>
  <Company>University of West Georgia</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1102 Stage #3</dc:title>
  <dc:subject/>
  <dc:creator>Kevin Casper</dc:creator>
  <cp:keywords/>
  <cp:lastModifiedBy>Pam Murphy</cp:lastModifiedBy>
  <cp:revision>2</cp:revision>
  <dcterms:created xsi:type="dcterms:W3CDTF">2020-02-27T15:03:00Z</dcterms:created>
  <dcterms:modified xsi:type="dcterms:W3CDTF">2020-02-27T15:03:00Z</dcterms:modified>
</cp:coreProperties>
</file>